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561BF2" w:rsidRPr="00583569" w:rsidTr="003A49D9">
        <w:trPr>
          <w:cantSplit/>
          <w:trHeight w:val="1258"/>
        </w:trPr>
        <w:tc>
          <w:tcPr>
            <w:tcW w:w="4898" w:type="dxa"/>
          </w:tcPr>
          <w:p w:rsidR="00561BF2" w:rsidRPr="00BE41BC" w:rsidRDefault="00561BF2" w:rsidP="003A49D9">
            <w:pPr>
              <w:spacing w:before="120" w:line="20" w:lineRule="atLeast"/>
              <w:ind w:right="-17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БАШ</w:t>
            </w:r>
            <w:r w:rsidRPr="00BE41BC">
              <w:rPr>
                <w:rFonts w:ascii="a_Helver(10%) Bashkir" w:hAnsi="a_Helver(10%) Bashkir"/>
                <w:b/>
                <w:bCs/>
              </w:rPr>
              <w:t>Ҡ</w:t>
            </w:r>
            <w:r w:rsidRPr="00BE41BC">
              <w:rPr>
                <w:b/>
                <w:bCs/>
              </w:rPr>
              <w:t>ОРТОСТАН РЕСПУБЛИКА</w:t>
            </w:r>
            <w:proofErr w:type="gramStart"/>
            <w:r w:rsidRPr="00BE41BC">
              <w:rPr>
                <w:b/>
                <w:bCs/>
                <w:lang w:val="en-US"/>
              </w:rPr>
              <w:t>h</w:t>
            </w:r>
            <w:proofErr w:type="gramEnd"/>
            <w:r w:rsidRPr="00BE41BC">
              <w:rPr>
                <w:b/>
                <w:bCs/>
              </w:rPr>
              <w:t>Ы</w:t>
            </w:r>
          </w:p>
          <w:p w:rsidR="00561BF2" w:rsidRDefault="00561BF2" w:rsidP="003A49D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БЛАГОВАР  РАЙОНЫ МУНИЦИПАЛЬ РАЙОНЫНЫҢ ТРОИЦКИЙ</w:t>
            </w:r>
          </w:p>
          <w:p w:rsidR="00561BF2" w:rsidRDefault="00561BF2" w:rsidP="003A49D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АУЫЛ  СОВЕТЫ АУЫЛ</w:t>
            </w:r>
          </w:p>
          <w:p w:rsidR="00561BF2" w:rsidRPr="00BE41BC" w:rsidRDefault="00561BF2" w:rsidP="003A49D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БИЛӘМӘҺЕ ХАКИМИӘТЕ</w:t>
            </w:r>
          </w:p>
          <w:p w:rsidR="00561BF2" w:rsidRPr="00BE41BC" w:rsidRDefault="00561BF2" w:rsidP="003A49D9">
            <w:pPr>
              <w:spacing w:line="20" w:lineRule="atLeast"/>
              <w:ind w:left="-113" w:right="-13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61BF2" w:rsidRPr="00BE41BC" w:rsidRDefault="00561BF2" w:rsidP="003A49D9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ACC5101" wp14:editId="4B4C730C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561BF2" w:rsidRPr="00BE41BC" w:rsidRDefault="00561BF2" w:rsidP="003A49D9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BE41BC">
              <w:rPr>
                <w:b/>
                <w:bCs/>
              </w:rPr>
              <w:t>РЕСПУБЛИКА БАШКОРТОСТАН</w:t>
            </w:r>
          </w:p>
          <w:p w:rsidR="00561BF2" w:rsidRPr="00BE41BC" w:rsidRDefault="00561BF2" w:rsidP="003A49D9">
            <w:pPr>
              <w:jc w:val="center"/>
              <w:rPr>
                <w:b/>
                <w:bCs/>
              </w:rPr>
            </w:pPr>
            <w:r w:rsidRPr="00BE41BC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561BF2" w:rsidRPr="00583569" w:rsidTr="003A49D9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61BF2" w:rsidRPr="00BE41BC" w:rsidRDefault="00561BF2" w:rsidP="003A49D9">
            <w:pPr>
              <w:spacing w:after="120" w:line="20" w:lineRule="atLeast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BE41BC">
              <w:rPr>
                <w:b/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BE41BC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BE41BC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BE41BC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561BF2" w:rsidRPr="00583569" w:rsidRDefault="00561BF2" w:rsidP="003A49D9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61BF2" w:rsidRPr="00583569" w:rsidRDefault="00561BF2" w:rsidP="003A49D9">
            <w:pPr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61BF2" w:rsidRPr="00BE41BC" w:rsidRDefault="00561BF2" w:rsidP="003A49D9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452743,с</w:t>
            </w:r>
            <w:proofErr w:type="gramStart"/>
            <w:r w:rsidRPr="00BE41BC">
              <w:rPr>
                <w:b/>
                <w:bCs/>
              </w:rPr>
              <w:t>.Т</w:t>
            </w:r>
            <w:proofErr w:type="gramEnd"/>
            <w:r w:rsidRPr="00BE41BC">
              <w:rPr>
                <w:b/>
                <w:bCs/>
              </w:rPr>
              <w:t>роицкий ул. Центральная, 54</w:t>
            </w:r>
          </w:p>
          <w:p w:rsidR="00561BF2" w:rsidRPr="00583569" w:rsidRDefault="00561BF2" w:rsidP="003A49D9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Тел. (34747) 41-6-46</w:t>
            </w:r>
          </w:p>
        </w:tc>
      </w:tr>
    </w:tbl>
    <w:p w:rsidR="00561BF2" w:rsidRDefault="00561BF2" w:rsidP="00561BF2">
      <w:pPr>
        <w:suppressAutoHyphens w:val="0"/>
        <w:jc w:val="right"/>
        <w:rPr>
          <w:b/>
          <w:bCs/>
          <w:kern w:val="0"/>
          <w:sz w:val="24"/>
          <w:szCs w:val="24"/>
          <w:lang w:eastAsia="ru-RU"/>
        </w:rPr>
      </w:pPr>
    </w:p>
    <w:p w:rsidR="00561BF2" w:rsidRDefault="00561BF2" w:rsidP="00561BF2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ПОСТАНОВЛЕНИЕ</w:t>
      </w:r>
    </w:p>
    <w:p w:rsidR="00561BF2" w:rsidRDefault="00561BF2" w:rsidP="00561BF2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561BF2" w:rsidRDefault="00561BF2" w:rsidP="00561BF2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>
        <w:rPr>
          <w:kern w:val="0"/>
          <w:sz w:val="28"/>
          <w:szCs w:val="28"/>
          <w:lang w:eastAsia="ru-RU"/>
        </w:rPr>
        <w:t>20</w:t>
      </w:r>
      <w:r>
        <w:rPr>
          <w:kern w:val="0"/>
          <w:sz w:val="28"/>
          <w:szCs w:val="28"/>
          <w:lang w:eastAsia="ru-RU"/>
        </w:rPr>
        <w:t xml:space="preserve"> декабрь 2021 й.                        № 1</w:t>
      </w:r>
      <w:r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 xml:space="preserve">                         </w:t>
      </w:r>
      <w:r>
        <w:rPr>
          <w:kern w:val="0"/>
          <w:sz w:val="28"/>
          <w:szCs w:val="28"/>
          <w:lang w:eastAsia="ru-RU"/>
        </w:rPr>
        <w:t>20</w:t>
      </w:r>
      <w:r>
        <w:rPr>
          <w:kern w:val="0"/>
          <w:sz w:val="28"/>
          <w:szCs w:val="28"/>
          <w:lang w:eastAsia="ru-RU"/>
        </w:rPr>
        <w:t xml:space="preserve"> декабря 2021 г.</w:t>
      </w:r>
    </w:p>
    <w:p w:rsidR="00561BF2" w:rsidRDefault="00561BF2" w:rsidP="00561BF2"/>
    <w:p w:rsidR="00AF47FB" w:rsidRDefault="00AF47FB" w:rsidP="00561BF2"/>
    <w:p w:rsidR="00AF47FB" w:rsidRDefault="00AF47FB" w:rsidP="00561BF2"/>
    <w:p w:rsidR="00AF47FB" w:rsidRPr="00130EEE" w:rsidRDefault="00AF47FB" w:rsidP="00AF47F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30EEE">
        <w:rPr>
          <w:b/>
          <w:sz w:val="28"/>
          <w:szCs w:val="28"/>
        </w:rPr>
        <w:t xml:space="preserve">О внесении изменений  в  постановление  главы администрации  сельского поселения  </w:t>
      </w:r>
      <w:r>
        <w:rPr>
          <w:b/>
          <w:sz w:val="28"/>
          <w:szCs w:val="28"/>
        </w:rPr>
        <w:t>Троицкий</w:t>
      </w:r>
      <w:r w:rsidRPr="00130EEE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130EEE">
        <w:rPr>
          <w:b/>
          <w:sz w:val="28"/>
          <w:szCs w:val="28"/>
        </w:rPr>
        <w:t>Благоварский</w:t>
      </w:r>
      <w:proofErr w:type="spellEnd"/>
      <w:r w:rsidRPr="00130EEE">
        <w:rPr>
          <w:b/>
          <w:sz w:val="28"/>
          <w:szCs w:val="28"/>
        </w:rPr>
        <w:t xml:space="preserve"> район Республики Башкортостан «Об утверждении перечня</w:t>
      </w:r>
      <w:r>
        <w:rPr>
          <w:b/>
          <w:sz w:val="28"/>
          <w:szCs w:val="28"/>
        </w:rPr>
        <w:t xml:space="preserve"> </w:t>
      </w:r>
      <w:r w:rsidRPr="00130EEE">
        <w:rPr>
          <w:b/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b/>
          <w:sz w:val="28"/>
          <w:szCs w:val="28"/>
        </w:rPr>
        <w:t>Троицкий</w:t>
      </w:r>
      <w:r w:rsidRPr="00130EEE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 w:rsidRPr="00130EEE">
        <w:rPr>
          <w:b/>
          <w:sz w:val="28"/>
          <w:szCs w:val="28"/>
        </w:rPr>
        <w:t xml:space="preserve"> район  Республики Башкортостан»</w:t>
      </w:r>
    </w:p>
    <w:p w:rsidR="00AF47FB" w:rsidRPr="00ED7E2C" w:rsidRDefault="00AF47FB" w:rsidP="00AF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7FB" w:rsidRPr="00ED7E2C" w:rsidRDefault="00AF47FB" w:rsidP="00AF4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</w:t>
      </w:r>
      <w:r w:rsidRPr="00ED7E2C">
        <w:rPr>
          <w:sz w:val="28"/>
          <w:szCs w:val="28"/>
        </w:rPr>
        <w:t xml:space="preserve">статьи 160.1  Бюджетного кодекса  Российской Федерации, Администрация сельского поселения </w:t>
      </w:r>
      <w:r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ED7E2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 </w:t>
      </w:r>
      <w:r w:rsidRPr="00ED7E2C">
        <w:rPr>
          <w:sz w:val="28"/>
          <w:szCs w:val="28"/>
        </w:rPr>
        <w:t>Республики Башкортостан постановляет:</w:t>
      </w:r>
    </w:p>
    <w:p w:rsidR="00AF47FB" w:rsidRDefault="00AF47FB" w:rsidP="00AF4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1. </w:t>
      </w:r>
      <w:proofErr w:type="gramStart"/>
      <w:r w:rsidRPr="00ED7E2C">
        <w:rPr>
          <w:sz w:val="28"/>
          <w:szCs w:val="28"/>
        </w:rPr>
        <w:t xml:space="preserve">Внести в постановление  главы администрации  сельского поселения </w:t>
      </w:r>
      <w:r>
        <w:rPr>
          <w:sz w:val="28"/>
          <w:szCs w:val="28"/>
        </w:rPr>
        <w:t xml:space="preserve">Троицкий </w:t>
      </w:r>
      <w:r>
        <w:rPr>
          <w:sz w:val="28"/>
          <w:szCs w:val="28"/>
        </w:rPr>
        <w:t>сельсовет</w:t>
      </w:r>
      <w:r w:rsidRPr="00ED7E2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 </w:t>
      </w:r>
      <w:r w:rsidRPr="00ED7E2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  года №</w:t>
      </w:r>
      <w:r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ED7E2C">
        <w:rPr>
          <w:sz w:val="28"/>
          <w:szCs w:val="28"/>
        </w:rPr>
        <w:t xml:space="preserve"> «Об  утверждении </w:t>
      </w:r>
      <w:r>
        <w:rPr>
          <w:sz w:val="28"/>
          <w:szCs w:val="28"/>
        </w:rPr>
        <w:t xml:space="preserve">перечня </w:t>
      </w:r>
      <w:r w:rsidRPr="007F767B">
        <w:rPr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sz w:val="28"/>
          <w:szCs w:val="28"/>
        </w:rPr>
        <w:t xml:space="preserve">Троицкий </w:t>
      </w:r>
      <w:r w:rsidRPr="007F767B">
        <w:rPr>
          <w:sz w:val="28"/>
          <w:szCs w:val="28"/>
        </w:rPr>
        <w:t>сельсовет муни</w:t>
      </w:r>
      <w:r>
        <w:rPr>
          <w:sz w:val="28"/>
          <w:szCs w:val="28"/>
        </w:rPr>
        <w:t xml:space="preserve">ципального района  </w:t>
      </w:r>
      <w:proofErr w:type="spellStart"/>
      <w:r>
        <w:rPr>
          <w:sz w:val="28"/>
          <w:szCs w:val="28"/>
        </w:rPr>
        <w:t>Благоварский</w:t>
      </w:r>
      <w:proofErr w:type="spellEnd"/>
      <w:r w:rsidRPr="007F767B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» </w:t>
      </w:r>
      <w:r w:rsidRPr="00ED7E2C">
        <w:rPr>
          <w:sz w:val="28"/>
          <w:szCs w:val="28"/>
        </w:rPr>
        <w:t>изменения</w:t>
      </w:r>
      <w:r>
        <w:rPr>
          <w:sz w:val="28"/>
          <w:szCs w:val="28"/>
        </w:rPr>
        <w:t>, и</w:t>
      </w:r>
      <w:r w:rsidRPr="00ED7E2C">
        <w:rPr>
          <w:sz w:val="28"/>
          <w:szCs w:val="28"/>
        </w:rPr>
        <w:t>зложи</w:t>
      </w:r>
      <w:r>
        <w:rPr>
          <w:sz w:val="28"/>
          <w:szCs w:val="28"/>
        </w:rPr>
        <w:t>в приложение № 1  в новой редакции.</w:t>
      </w:r>
      <w:proofErr w:type="gramEnd"/>
    </w:p>
    <w:p w:rsidR="00AF47FB" w:rsidRDefault="00AF47FB" w:rsidP="00AF4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E2C">
        <w:rPr>
          <w:sz w:val="28"/>
          <w:szCs w:val="28"/>
        </w:rPr>
        <w:t>.</w:t>
      </w:r>
      <w:r w:rsidRPr="00BE65F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F767B">
        <w:rPr>
          <w:sz w:val="28"/>
          <w:szCs w:val="28"/>
        </w:rPr>
        <w:t>стоящее постановлени</w:t>
      </w:r>
      <w:r>
        <w:rPr>
          <w:sz w:val="28"/>
          <w:szCs w:val="28"/>
        </w:rPr>
        <w:t>е вступает в силу с 1 января 2022 года.</w:t>
      </w:r>
      <w:r w:rsidRPr="00ED7E2C">
        <w:rPr>
          <w:sz w:val="28"/>
          <w:szCs w:val="28"/>
        </w:rPr>
        <w:t xml:space="preserve"> </w:t>
      </w:r>
    </w:p>
    <w:p w:rsidR="00AF47FB" w:rsidRDefault="00AF47FB" w:rsidP="00AF4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65FA">
        <w:rPr>
          <w:sz w:val="28"/>
          <w:szCs w:val="28"/>
        </w:rPr>
        <w:t xml:space="preserve"> </w:t>
      </w:r>
      <w:r w:rsidRPr="00ED7E2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 </w:t>
      </w:r>
      <w:r w:rsidRPr="00ED7E2C">
        <w:rPr>
          <w:sz w:val="28"/>
          <w:szCs w:val="28"/>
        </w:rPr>
        <w:t>настоящего постановления оставляю за собой.</w:t>
      </w:r>
    </w:p>
    <w:p w:rsidR="00AF47FB" w:rsidRDefault="00AF47FB" w:rsidP="00AF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7FB" w:rsidRDefault="00AF47FB" w:rsidP="00AF47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F47FB" w:rsidRDefault="00AF47FB" w:rsidP="00AF47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Троицкий </w:t>
      </w:r>
      <w:r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                                         Н.П. </w:t>
      </w:r>
      <w:proofErr w:type="spellStart"/>
      <w:r>
        <w:rPr>
          <w:sz w:val="28"/>
          <w:szCs w:val="28"/>
        </w:rPr>
        <w:t>Дунавева</w:t>
      </w:r>
      <w:proofErr w:type="spellEnd"/>
    </w:p>
    <w:p w:rsidR="00AF47FB" w:rsidRDefault="00AF47FB" w:rsidP="00AF47FB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AF47FB" w:rsidRDefault="00AF47FB" w:rsidP="00AF47F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E00A9" w:rsidRDefault="005E00A9" w:rsidP="00AF47F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AF47FB" w:rsidRDefault="00AF47FB" w:rsidP="00AF47F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AF47FB" w:rsidRDefault="00AF47FB" w:rsidP="00AF47FB">
      <w:pPr>
        <w:autoSpaceDE w:val="0"/>
        <w:autoSpaceDN w:val="0"/>
        <w:adjustRightInd w:val="0"/>
      </w:pPr>
    </w:p>
    <w:p w:rsidR="00AF47FB" w:rsidRPr="002B7EAE" w:rsidRDefault="00AF47FB" w:rsidP="00AF47FB">
      <w:pPr>
        <w:autoSpaceDE w:val="0"/>
        <w:autoSpaceDN w:val="0"/>
        <w:adjustRightInd w:val="0"/>
        <w:ind w:left="6521"/>
      </w:pPr>
      <w:r w:rsidRPr="002B7EAE">
        <w:lastRenderedPageBreak/>
        <w:t>Приложение № 1</w:t>
      </w:r>
    </w:p>
    <w:p w:rsidR="00AF47FB" w:rsidRPr="002B7EAE" w:rsidRDefault="00AF47FB" w:rsidP="00AF47FB">
      <w:pPr>
        <w:autoSpaceDE w:val="0"/>
        <w:autoSpaceDN w:val="0"/>
        <w:adjustRightInd w:val="0"/>
        <w:ind w:left="6521"/>
      </w:pPr>
      <w:r w:rsidRPr="002B7EAE">
        <w:t xml:space="preserve">к постановлению </w:t>
      </w:r>
    </w:p>
    <w:p w:rsidR="00AF47FB" w:rsidRDefault="00AF47FB" w:rsidP="00AF47FB">
      <w:pPr>
        <w:autoSpaceDE w:val="0"/>
        <w:autoSpaceDN w:val="0"/>
        <w:adjustRightInd w:val="0"/>
        <w:ind w:left="6521"/>
      </w:pPr>
      <w:r w:rsidRPr="002B7EAE">
        <w:t xml:space="preserve">Администрации </w:t>
      </w:r>
      <w:proofErr w:type="gramStart"/>
      <w:r w:rsidRPr="002B7EAE">
        <w:t>сельского</w:t>
      </w:r>
      <w:proofErr w:type="gramEnd"/>
      <w:r w:rsidRPr="002B7EAE">
        <w:t xml:space="preserve"> </w:t>
      </w:r>
      <w:r>
        <w:t xml:space="preserve">   </w:t>
      </w:r>
    </w:p>
    <w:p w:rsidR="00AF47FB" w:rsidRPr="002B7EAE" w:rsidRDefault="00AF47FB" w:rsidP="00AF47FB">
      <w:pPr>
        <w:autoSpaceDE w:val="0"/>
        <w:autoSpaceDN w:val="0"/>
        <w:adjustRightInd w:val="0"/>
        <w:ind w:left="6521"/>
      </w:pPr>
      <w:r w:rsidRPr="002B7EAE">
        <w:t xml:space="preserve">поселения       </w:t>
      </w:r>
    </w:p>
    <w:p w:rsidR="00AF47FB" w:rsidRPr="002B7EAE" w:rsidRDefault="00AF47FB" w:rsidP="00AF47FB">
      <w:pPr>
        <w:autoSpaceDE w:val="0"/>
        <w:autoSpaceDN w:val="0"/>
        <w:adjustRightInd w:val="0"/>
        <w:ind w:left="6521"/>
      </w:pPr>
      <w:r>
        <w:t>Троицкий</w:t>
      </w:r>
      <w:r w:rsidRPr="002B7EAE">
        <w:t xml:space="preserve"> сельсовет</w:t>
      </w:r>
    </w:p>
    <w:p w:rsidR="00AF47FB" w:rsidRPr="002B7EAE" w:rsidRDefault="00AF47FB" w:rsidP="00AF47FB">
      <w:pPr>
        <w:autoSpaceDE w:val="0"/>
        <w:autoSpaceDN w:val="0"/>
        <w:adjustRightInd w:val="0"/>
        <w:ind w:left="6521"/>
      </w:pPr>
      <w:r w:rsidRPr="002B7EAE">
        <w:t xml:space="preserve">муниципального района </w:t>
      </w:r>
    </w:p>
    <w:p w:rsidR="00AF47FB" w:rsidRPr="002B7EAE" w:rsidRDefault="00AF47FB" w:rsidP="00AF47FB">
      <w:pPr>
        <w:autoSpaceDE w:val="0"/>
        <w:autoSpaceDN w:val="0"/>
        <w:adjustRightInd w:val="0"/>
        <w:ind w:left="6521"/>
      </w:pPr>
      <w:proofErr w:type="spellStart"/>
      <w:r w:rsidRPr="002B7EAE">
        <w:t>Благоварский</w:t>
      </w:r>
      <w:proofErr w:type="spellEnd"/>
      <w:r w:rsidRPr="002B7EAE">
        <w:t xml:space="preserve">  район</w:t>
      </w:r>
    </w:p>
    <w:p w:rsidR="00AF47FB" w:rsidRPr="002B7EAE" w:rsidRDefault="00AF47FB" w:rsidP="00AF47FB">
      <w:pPr>
        <w:autoSpaceDE w:val="0"/>
        <w:autoSpaceDN w:val="0"/>
        <w:adjustRightInd w:val="0"/>
        <w:ind w:left="6521"/>
      </w:pPr>
      <w:r w:rsidRPr="002B7EAE">
        <w:t>Республики Башкортостан</w:t>
      </w:r>
    </w:p>
    <w:p w:rsidR="00AF47FB" w:rsidRPr="002B7EAE" w:rsidRDefault="00AF47FB" w:rsidP="00AF47FB">
      <w:pPr>
        <w:autoSpaceDE w:val="0"/>
        <w:autoSpaceDN w:val="0"/>
        <w:adjustRightInd w:val="0"/>
        <w:ind w:left="6521"/>
      </w:pPr>
      <w:r w:rsidRPr="002B7EAE">
        <w:t>от «</w:t>
      </w:r>
      <w:r w:rsidR="0062200D">
        <w:t>20</w:t>
      </w:r>
      <w:r w:rsidRPr="002B7EAE">
        <w:t>»декабря 20</w:t>
      </w:r>
      <w:r w:rsidR="0062200D">
        <w:t>21</w:t>
      </w:r>
      <w:r w:rsidRPr="002B7EAE">
        <w:t xml:space="preserve">г. № </w:t>
      </w:r>
      <w:r w:rsidR="0062200D">
        <w:t>19</w:t>
      </w:r>
    </w:p>
    <w:p w:rsidR="00AF47FB" w:rsidRDefault="00AF47FB" w:rsidP="00AF47FB">
      <w:pPr>
        <w:autoSpaceDE w:val="0"/>
        <w:autoSpaceDN w:val="0"/>
        <w:adjustRightInd w:val="0"/>
        <w:ind w:firstLine="708"/>
        <w:jc w:val="center"/>
      </w:pPr>
    </w:p>
    <w:p w:rsidR="00AF47FB" w:rsidRPr="002B7EAE" w:rsidRDefault="00AF47FB" w:rsidP="00AF47FB">
      <w:pPr>
        <w:autoSpaceDE w:val="0"/>
        <w:autoSpaceDN w:val="0"/>
        <w:adjustRightInd w:val="0"/>
        <w:ind w:firstLine="708"/>
        <w:jc w:val="center"/>
      </w:pPr>
    </w:p>
    <w:p w:rsidR="00AF47FB" w:rsidRPr="00566170" w:rsidRDefault="00AF47FB" w:rsidP="00AF47F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66170">
        <w:rPr>
          <w:sz w:val="28"/>
          <w:szCs w:val="28"/>
        </w:rPr>
        <w:t>Перечень</w:t>
      </w:r>
    </w:p>
    <w:p w:rsidR="00AF47FB" w:rsidRPr="00566170" w:rsidRDefault="00AF47FB" w:rsidP="00AF47F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66170">
        <w:rPr>
          <w:sz w:val="28"/>
          <w:szCs w:val="28"/>
        </w:rPr>
        <w:t xml:space="preserve">кодов подвидов доходов по видам доходов, главными администраторами которых является органы местного самоуправления сельского поселения </w:t>
      </w:r>
      <w:r w:rsidR="0062200D">
        <w:rPr>
          <w:sz w:val="28"/>
          <w:szCs w:val="28"/>
        </w:rPr>
        <w:t>Троицкий</w:t>
      </w:r>
      <w:bookmarkStart w:id="0" w:name="_GoBack"/>
      <w:bookmarkEnd w:id="0"/>
      <w:r w:rsidRPr="00566170">
        <w:rPr>
          <w:sz w:val="28"/>
          <w:szCs w:val="28"/>
        </w:rPr>
        <w:t xml:space="preserve"> сельсовет муниципального района  </w:t>
      </w:r>
      <w:proofErr w:type="spellStart"/>
      <w:r w:rsidRPr="00566170">
        <w:rPr>
          <w:sz w:val="28"/>
          <w:szCs w:val="28"/>
        </w:rPr>
        <w:t>Благоварский</w:t>
      </w:r>
      <w:proofErr w:type="spellEnd"/>
      <w:r w:rsidRPr="00566170">
        <w:rPr>
          <w:sz w:val="28"/>
          <w:szCs w:val="28"/>
        </w:rPr>
        <w:t xml:space="preserve"> район  Республики Башкортостан</w:t>
      </w:r>
    </w:p>
    <w:p w:rsidR="00AF47FB" w:rsidRPr="00566170" w:rsidRDefault="00AF47FB" w:rsidP="00AF4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FB" w:rsidRPr="00566170" w:rsidRDefault="00AF47FB" w:rsidP="00AF4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6170"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знака </w:t>
      </w:r>
      <w:proofErr w:type="gramStart"/>
      <w:r w:rsidRPr="00566170">
        <w:rPr>
          <w:sz w:val="28"/>
          <w:szCs w:val="28"/>
        </w:rPr>
        <w:t>подвида доходов классификации  доходов бюджетов</w:t>
      </w:r>
      <w:proofErr w:type="gramEnd"/>
      <w:r w:rsidRPr="00566170">
        <w:rPr>
          <w:sz w:val="28"/>
          <w:szCs w:val="28"/>
        </w:rPr>
        <w:t xml:space="preserve"> по видам доходов для кодов бюджетной классификации:</w:t>
      </w:r>
    </w:p>
    <w:p w:rsidR="00AF47FB" w:rsidRPr="00566170" w:rsidRDefault="00AF47FB" w:rsidP="00AF47FB">
      <w:pPr>
        <w:ind w:firstLine="708"/>
        <w:jc w:val="both"/>
        <w:rPr>
          <w:sz w:val="28"/>
          <w:szCs w:val="28"/>
        </w:rPr>
      </w:pPr>
    </w:p>
    <w:p w:rsidR="00AF47FB" w:rsidRPr="00566170" w:rsidRDefault="00AF47FB" w:rsidP="00AF47FB">
      <w:pPr>
        <w:ind w:firstLine="708"/>
        <w:jc w:val="both"/>
        <w:rPr>
          <w:sz w:val="28"/>
          <w:szCs w:val="28"/>
        </w:rPr>
      </w:pPr>
      <w:r w:rsidRPr="00566170">
        <w:rPr>
          <w:sz w:val="28"/>
          <w:szCs w:val="28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AF47FB" w:rsidRPr="00566170" w:rsidTr="003A49D9">
        <w:tc>
          <w:tcPr>
            <w:tcW w:w="1526" w:type="dxa"/>
            <w:shd w:val="clear" w:color="auto" w:fill="auto"/>
          </w:tcPr>
          <w:p w:rsidR="00AF47FB" w:rsidRPr="00566170" w:rsidRDefault="00AF47FB" w:rsidP="003A49D9">
            <w:pPr>
              <w:jc w:val="both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1000 110</w:t>
            </w:r>
          </w:p>
        </w:tc>
        <w:tc>
          <w:tcPr>
            <w:tcW w:w="7938" w:type="dxa"/>
            <w:shd w:val="clear" w:color="auto" w:fill="auto"/>
          </w:tcPr>
          <w:p w:rsidR="00AF47FB" w:rsidRPr="00566170" w:rsidRDefault="00AF47FB" w:rsidP="003A49D9">
            <w:pPr>
              <w:jc w:val="both"/>
              <w:rPr>
                <w:sz w:val="28"/>
                <w:szCs w:val="28"/>
              </w:rPr>
            </w:pPr>
            <w:proofErr w:type="gramStart"/>
            <w:r w:rsidRPr="00566170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AF47FB" w:rsidRPr="00566170" w:rsidRDefault="00AF47FB" w:rsidP="00AF47FB">
      <w:pPr>
        <w:ind w:firstLine="708"/>
        <w:jc w:val="both"/>
        <w:rPr>
          <w:sz w:val="28"/>
          <w:szCs w:val="28"/>
        </w:rPr>
      </w:pPr>
    </w:p>
    <w:p w:rsidR="00AF47FB" w:rsidRPr="00566170" w:rsidRDefault="00AF47FB" w:rsidP="00AF47FB">
      <w:pPr>
        <w:ind w:firstLine="708"/>
        <w:jc w:val="both"/>
        <w:rPr>
          <w:sz w:val="28"/>
          <w:szCs w:val="28"/>
        </w:rPr>
      </w:pPr>
      <w:r w:rsidRPr="00566170">
        <w:rPr>
          <w:sz w:val="28"/>
          <w:szCs w:val="28"/>
        </w:rPr>
        <w:t>000 1 17 15030 10 0000 150 «Инициативные платежи, зачисляемые в бюджеты сельских поселений»  добавить коды подвидов доходов: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045"/>
      </w:tblGrid>
      <w:tr w:rsidR="00AF47FB" w:rsidRPr="00566170" w:rsidTr="003A49D9">
        <w:tc>
          <w:tcPr>
            <w:tcW w:w="1530" w:type="dxa"/>
            <w:shd w:val="clear" w:color="auto" w:fill="auto"/>
          </w:tcPr>
          <w:p w:rsidR="00AF47FB" w:rsidRPr="00566170" w:rsidRDefault="00AF47FB" w:rsidP="003A49D9">
            <w:pPr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1001 150</w:t>
            </w:r>
          </w:p>
        </w:tc>
        <w:tc>
          <w:tcPr>
            <w:tcW w:w="8045" w:type="dxa"/>
            <w:shd w:val="clear" w:color="auto" w:fill="auto"/>
          </w:tcPr>
          <w:p w:rsidR="00AF47FB" w:rsidRPr="00566170" w:rsidRDefault="00AF47FB" w:rsidP="003A49D9">
            <w:pPr>
              <w:jc w:val="both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AF47FB" w:rsidRPr="00566170" w:rsidTr="003A49D9">
        <w:tc>
          <w:tcPr>
            <w:tcW w:w="1530" w:type="dxa"/>
            <w:shd w:val="clear" w:color="auto" w:fill="auto"/>
          </w:tcPr>
          <w:p w:rsidR="00AF47FB" w:rsidRPr="00566170" w:rsidRDefault="00AF47FB" w:rsidP="003A49D9">
            <w:pPr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2001 150</w:t>
            </w:r>
          </w:p>
        </w:tc>
        <w:tc>
          <w:tcPr>
            <w:tcW w:w="8045" w:type="dxa"/>
            <w:shd w:val="clear" w:color="auto" w:fill="auto"/>
          </w:tcPr>
          <w:p w:rsidR="00AF47FB" w:rsidRPr="00566170" w:rsidRDefault="00AF47FB" w:rsidP="003A49D9">
            <w:pPr>
              <w:jc w:val="both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F47FB" w:rsidRPr="00566170" w:rsidRDefault="00AF47FB" w:rsidP="00AF47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FB" w:rsidRPr="00566170" w:rsidRDefault="00AF47FB" w:rsidP="00AF47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170">
        <w:rPr>
          <w:rFonts w:ascii="Times New Roman" w:hAnsi="Times New Roman" w:cs="Times New Roman"/>
          <w:sz w:val="28"/>
          <w:szCs w:val="28"/>
        </w:rPr>
        <w:t>000 2 02 49999 10 0000 150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5555 150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5767 150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7201 150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7216 150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ind w:firstLine="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6617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</w:t>
            </w:r>
            <w:r w:rsidRPr="005661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617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значения)</w:t>
            </w:r>
          </w:p>
        </w:tc>
      </w:tr>
      <w:tr w:rsidR="00AF47FB" w:rsidRPr="00566170" w:rsidTr="003A49D9">
        <w:trPr>
          <w:trHeight w:val="640"/>
        </w:trPr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7231 150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ind w:firstLine="42"/>
              <w:rPr>
                <w:color w:val="000000"/>
                <w:sz w:val="28"/>
                <w:szCs w:val="28"/>
              </w:rPr>
            </w:pPr>
            <w:r w:rsidRPr="00566170"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AF47FB" w:rsidRPr="00566170" w:rsidTr="003A49D9">
        <w:trPr>
          <w:trHeight w:val="976"/>
        </w:trPr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7232 150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ind w:firstLine="42"/>
              <w:rPr>
                <w:b/>
                <w:sz w:val="28"/>
                <w:szCs w:val="28"/>
              </w:rPr>
            </w:pPr>
            <w:r w:rsidRPr="00566170">
              <w:rPr>
                <w:color w:val="000000"/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7235 150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ind w:firstLine="4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7241 150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ind w:firstLine="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7247 150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ind w:firstLine="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проекты развития общественной инфраструктуры, основанной на местных инициативах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7248 150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ind w:firstLine="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jc w:val="both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7265 150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ind w:firstLine="42"/>
              <w:jc w:val="both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7404 150 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ind w:firstLine="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7405 150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ind w:firstLine="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sz w:val="28"/>
                <w:szCs w:val="28"/>
              </w:rPr>
              <w:t>7408 150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pStyle w:val="1"/>
              <w:ind w:firstLine="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617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7415 150</w:t>
            </w:r>
          </w:p>
        </w:tc>
        <w:tc>
          <w:tcPr>
            <w:tcW w:w="8364" w:type="dxa"/>
            <w:shd w:val="clear" w:color="auto" w:fill="auto"/>
          </w:tcPr>
          <w:p w:rsidR="00AF47FB" w:rsidRPr="00566170" w:rsidRDefault="00AF47FB" w:rsidP="003A49D9">
            <w:pPr>
              <w:ind w:firstLine="42"/>
              <w:jc w:val="both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премирование победителей республиканского этапа Всероссийского конкурса «Лучшая муниципальная практика</w:t>
            </w:r>
          </w:p>
        </w:tc>
      </w:tr>
    </w:tbl>
    <w:p w:rsidR="00AF47FB" w:rsidRPr="00566170" w:rsidRDefault="00AF47FB" w:rsidP="00AF47FB">
      <w:pPr>
        <w:pStyle w:val="1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F47FB" w:rsidRPr="00566170" w:rsidRDefault="00AF47FB" w:rsidP="00AF47FB">
      <w:pPr>
        <w:ind w:firstLine="708"/>
        <w:jc w:val="both"/>
        <w:rPr>
          <w:sz w:val="28"/>
          <w:szCs w:val="28"/>
        </w:rPr>
      </w:pPr>
      <w:r w:rsidRPr="00566170">
        <w:rPr>
          <w:sz w:val="28"/>
          <w:szCs w:val="28"/>
        </w:rPr>
        <w:t xml:space="preserve">000 </w:t>
      </w:r>
      <w:r w:rsidRPr="00566170">
        <w:rPr>
          <w:sz w:val="28"/>
          <w:szCs w:val="28"/>
        </w:rPr>
        <w:tab/>
        <w:t>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6100 150</w:t>
            </w:r>
          </w:p>
        </w:tc>
        <w:tc>
          <w:tcPr>
            <w:tcW w:w="8329" w:type="dxa"/>
            <w:shd w:val="clear" w:color="auto" w:fill="auto"/>
          </w:tcPr>
          <w:p w:rsidR="00AF47FB" w:rsidRPr="00566170" w:rsidRDefault="00AF47FB" w:rsidP="003A4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прочие поступления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6200 150</w:t>
            </w:r>
          </w:p>
        </w:tc>
        <w:tc>
          <w:tcPr>
            <w:tcW w:w="8329" w:type="dxa"/>
            <w:shd w:val="clear" w:color="auto" w:fill="auto"/>
          </w:tcPr>
          <w:p w:rsidR="00AF47FB" w:rsidRPr="00566170" w:rsidRDefault="00AF47FB" w:rsidP="003A4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6300 150</w:t>
            </w:r>
          </w:p>
        </w:tc>
        <w:tc>
          <w:tcPr>
            <w:tcW w:w="8329" w:type="dxa"/>
            <w:shd w:val="clear" w:color="auto" w:fill="auto"/>
          </w:tcPr>
          <w:p w:rsidR="00AF47FB" w:rsidRPr="00566170" w:rsidRDefault="00AF47FB" w:rsidP="003A4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  <w:tr w:rsidR="00AF47FB" w:rsidRPr="00566170" w:rsidTr="003A49D9">
        <w:tc>
          <w:tcPr>
            <w:tcW w:w="1242" w:type="dxa"/>
            <w:shd w:val="clear" w:color="auto" w:fill="auto"/>
          </w:tcPr>
          <w:p w:rsidR="00AF47FB" w:rsidRPr="00566170" w:rsidRDefault="00AF47FB" w:rsidP="003A4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170">
              <w:rPr>
                <w:sz w:val="28"/>
                <w:szCs w:val="28"/>
              </w:rPr>
              <w:t>6600 150</w:t>
            </w:r>
          </w:p>
        </w:tc>
        <w:tc>
          <w:tcPr>
            <w:tcW w:w="8329" w:type="dxa"/>
            <w:shd w:val="clear" w:color="auto" w:fill="auto"/>
          </w:tcPr>
          <w:p w:rsidR="00AF47FB" w:rsidRPr="00566170" w:rsidRDefault="00AF47FB" w:rsidP="003A4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170">
              <w:rPr>
                <w:color w:val="000000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AF47FB" w:rsidRPr="00566170" w:rsidRDefault="00AF47FB" w:rsidP="00AF47FB">
      <w:pPr>
        <w:ind w:firstLine="708"/>
        <w:rPr>
          <w:sz w:val="28"/>
          <w:szCs w:val="28"/>
        </w:rPr>
      </w:pPr>
    </w:p>
    <w:p w:rsidR="00AF47FB" w:rsidRDefault="00AF47FB" w:rsidP="00561BF2"/>
    <w:p w:rsidR="00561BF2" w:rsidRDefault="00561BF2" w:rsidP="00561BF2"/>
    <w:p w:rsidR="00561BF2" w:rsidRPr="0091028A" w:rsidRDefault="00561BF2" w:rsidP="00561BF2">
      <w:pPr>
        <w:rPr>
          <w:color w:val="000000"/>
          <w:sz w:val="28"/>
          <w:szCs w:val="28"/>
        </w:rPr>
      </w:pPr>
    </w:p>
    <w:p w:rsidR="003C22F7" w:rsidRDefault="003C22F7"/>
    <w:sectPr w:rsidR="003C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67"/>
    <w:rsid w:val="003C22F7"/>
    <w:rsid w:val="00561BF2"/>
    <w:rsid w:val="005E00A9"/>
    <w:rsid w:val="0062200D"/>
    <w:rsid w:val="00AF47FB"/>
    <w:rsid w:val="00C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1BF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561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F2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nformat">
    <w:name w:val="ConsPlusNonformat"/>
    <w:rsid w:val="00A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1BF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561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F2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nformat">
    <w:name w:val="ConsPlusNonformat"/>
    <w:rsid w:val="00AF4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2021-12-20T13:43:00Z</dcterms:created>
  <dcterms:modified xsi:type="dcterms:W3CDTF">2021-12-20T13:52:00Z</dcterms:modified>
</cp:coreProperties>
</file>